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 xml:space="preserve">státní </w:t>
      </w:r>
      <w:r w:rsidR="003F6E39" w:rsidRPr="001861C3">
        <w:rPr>
          <w:rFonts w:ascii="Calibri" w:hAnsi="Calibri"/>
          <w:sz w:val="28"/>
          <w:szCs w:val="28"/>
        </w:rPr>
        <w:t>zámek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A2223D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A2223D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</w:p>
    <w:p w:rsidR="00330850" w:rsidRPr="001861C3" w:rsidRDefault="003E0C59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4E09B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Pr="001861C3">
        <w:rPr>
          <w:b/>
          <w:sz w:val="18"/>
          <w:szCs w:val="18"/>
        </w:rPr>
        <w:t>8: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</w:t>
      </w:r>
      <w:r w:rsidR="00F40762">
        <w:rPr>
          <w:snapToGrid w:val="0"/>
          <w:sz w:val="16"/>
          <w:szCs w:val="16"/>
        </w:rPr>
        <w:t xml:space="preserve">dnotlivých prohlídkových okruhů, </w:t>
      </w:r>
      <w:r w:rsidR="00F40762" w:rsidRPr="001861C3">
        <w:rPr>
          <w:snapToGrid w:val="0"/>
          <w:sz w:val="16"/>
          <w:szCs w:val="16"/>
        </w:rPr>
        <w:t>aktuální informace</w:t>
      </w:r>
      <w:r w:rsidR="00F40762">
        <w:rPr>
          <w:snapToGrid w:val="0"/>
          <w:sz w:val="16"/>
          <w:szCs w:val="16"/>
        </w:rPr>
        <w:t xml:space="preserve"> </w:t>
      </w:r>
      <w:r w:rsidR="00F40762">
        <w:rPr>
          <w:snapToGrid w:val="0"/>
          <w:sz w:val="16"/>
          <w:szCs w:val="16"/>
        </w:rPr>
        <w:t xml:space="preserve">o </w:t>
      </w:r>
      <w:bookmarkStart w:id="0" w:name="_GoBack"/>
      <w:bookmarkEnd w:id="0"/>
      <w:r w:rsidR="00F40762">
        <w:rPr>
          <w:snapToGrid w:val="0"/>
          <w:sz w:val="16"/>
          <w:szCs w:val="16"/>
        </w:rPr>
        <w:t>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lastRenderedPageBreak/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památkového </w:t>
      </w:r>
      <w:r w:rsidR="00602B86" w:rsidRPr="001861C3">
        <w:rPr>
          <w:sz w:val="16"/>
          <w:szCs w:val="16"/>
          <w:u w:val="single"/>
        </w:rPr>
        <w:t>objektu, či případně</w:t>
      </w:r>
      <w:r w:rsidR="003F795C" w:rsidRPr="001861C3">
        <w:rPr>
          <w:sz w:val="16"/>
          <w:szCs w:val="16"/>
          <w:u w:val="single"/>
        </w:rPr>
        <w:t xml:space="preserve"> dalších vyznačených prostorách </w:t>
      </w:r>
      <w:r w:rsidR="00A07184" w:rsidRPr="001861C3">
        <w:rPr>
          <w:sz w:val="16"/>
          <w:szCs w:val="16"/>
          <w:u w:val="single"/>
        </w:rPr>
        <w:t xml:space="preserve">areálu </w:t>
      </w:r>
      <w:r w:rsidR="003F795C" w:rsidRPr="001861C3">
        <w:rPr>
          <w:sz w:val="16"/>
          <w:szCs w:val="16"/>
          <w:u w:val="single"/>
        </w:rPr>
        <w:t xml:space="preserve">je fotografování, filmování a pořizování jiné dokumentace </w:t>
      </w:r>
      <w:r w:rsidR="00330850" w:rsidRPr="001861C3">
        <w:rPr>
          <w:sz w:val="16"/>
          <w:szCs w:val="16"/>
          <w:u w:val="single"/>
        </w:rPr>
        <w:t xml:space="preserve">zakázáno. </w:t>
      </w:r>
      <w:r w:rsidR="00EF7EC2" w:rsidRPr="001861C3">
        <w:rPr>
          <w:sz w:val="16"/>
          <w:szCs w:val="16"/>
          <w:u w:val="single"/>
        </w:rPr>
        <w:t xml:space="preserve">Je zakázáno </w:t>
      </w:r>
      <w:r w:rsidR="003F795C" w:rsidRPr="001861C3">
        <w:rPr>
          <w:sz w:val="16"/>
          <w:szCs w:val="16"/>
          <w:u w:val="single"/>
        </w:rPr>
        <w:t xml:space="preserve">užití blesku, stativu, </w:t>
      </w:r>
      <w:proofErr w:type="spellStart"/>
      <w:r w:rsidR="003F795C" w:rsidRPr="001861C3">
        <w:rPr>
          <w:sz w:val="16"/>
          <w:szCs w:val="16"/>
          <w:u w:val="single"/>
        </w:rPr>
        <w:t>selfie</w:t>
      </w:r>
      <w:proofErr w:type="spellEnd"/>
      <w:r w:rsidR="003F795C" w:rsidRPr="001861C3">
        <w:rPr>
          <w:sz w:val="16"/>
          <w:szCs w:val="16"/>
          <w:u w:val="single"/>
        </w:rPr>
        <w:t xml:space="preserve"> tyčí, nebo jakékoli další osvětlovací a pomocné techniky.</w:t>
      </w:r>
      <w:r w:rsidR="00276386" w:rsidRPr="001861C3">
        <w:rPr>
          <w:b/>
          <w:sz w:val="16"/>
          <w:szCs w:val="16"/>
          <w:u w:val="single"/>
        </w:rPr>
        <w:t xml:space="preserve"> </w:t>
      </w:r>
      <w:r w:rsidR="00EF7EC2" w:rsidRPr="001861C3">
        <w:rPr>
          <w:sz w:val="16"/>
          <w:szCs w:val="16"/>
          <w:u w:val="single"/>
        </w:rPr>
        <w:t>Výjimka z obecného zákazu – viz čl. 6.</w:t>
      </w:r>
    </w:p>
    <w:p w:rsidR="000D1FAB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 celém areálu je zakázáno létá</w:t>
      </w:r>
      <w:r w:rsidR="00FB33DC" w:rsidRPr="001861C3">
        <w:rPr>
          <w:sz w:val="16"/>
          <w:szCs w:val="16"/>
        </w:rPr>
        <w:t xml:space="preserve">ní bezpilotních letadel (dronů, </w:t>
      </w:r>
      <w:r w:rsidRPr="001861C3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1861C3">
        <w:rPr>
          <w:b/>
          <w:sz w:val="16"/>
          <w:szCs w:val="16"/>
        </w:rPr>
        <w:t xml:space="preserve"> </w:t>
      </w:r>
      <w:r w:rsidRPr="001861C3">
        <w:rPr>
          <w:sz w:val="16"/>
          <w:szCs w:val="16"/>
        </w:rPr>
        <w:t>Jakékoli fotografie, video či jinou dokumentaci pořízené v areálu je zakázáno používat ke komerčním účelům bez výslovného písemného povolení Národního památkového ústavu, územní památkové správy v</w:t>
      </w:r>
      <w:r w:rsidR="008A3AA1" w:rsidRPr="001861C3">
        <w:rPr>
          <w:sz w:val="16"/>
          <w:szCs w:val="16"/>
        </w:rPr>
        <w:t xml:space="preserve"> Praze.  </w:t>
      </w:r>
      <w:r w:rsidRPr="001861C3">
        <w:rPr>
          <w:sz w:val="16"/>
          <w:szCs w:val="16"/>
        </w:rPr>
        <w:t xml:space="preserve">Pro vědecké, dokumentační, propagační a jiné účely povoluje </w:t>
      </w:r>
      <w:r w:rsidR="000D1FAB" w:rsidRPr="001861C3">
        <w:rPr>
          <w:sz w:val="16"/>
          <w:szCs w:val="16"/>
        </w:rPr>
        <w:t>tato územní</w:t>
      </w:r>
      <w:r w:rsidR="00996E0B" w:rsidRPr="001861C3">
        <w:rPr>
          <w:sz w:val="16"/>
          <w:szCs w:val="16"/>
        </w:rPr>
        <w:t xml:space="preserve"> památková</w:t>
      </w:r>
      <w:r w:rsidR="000D1FAB" w:rsidRPr="001861C3">
        <w:rPr>
          <w:sz w:val="16"/>
          <w:szCs w:val="16"/>
        </w:rPr>
        <w:t xml:space="preserve"> správa </w:t>
      </w:r>
      <w:r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1861C3" w:rsidRDefault="004512B0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proofErr w:type="spellStart"/>
      <w:r w:rsidRPr="001861C3">
        <w:rPr>
          <w:sz w:val="16"/>
          <w:szCs w:val="16"/>
        </w:rPr>
        <w:t>Geocaching</w:t>
      </w:r>
      <w:proofErr w:type="spellEnd"/>
      <w:r w:rsidRPr="001861C3">
        <w:rPr>
          <w:sz w:val="16"/>
          <w:szCs w:val="16"/>
        </w:rPr>
        <w:t xml:space="preserve"> a s tím spojené aktivity </w:t>
      </w:r>
      <w:r w:rsidR="00A307BB" w:rsidRPr="001861C3">
        <w:rPr>
          <w:sz w:val="16"/>
          <w:szCs w:val="16"/>
        </w:rPr>
        <w:t xml:space="preserve">a </w:t>
      </w:r>
      <w:r w:rsidRPr="001861C3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1861C3">
        <w:rPr>
          <w:sz w:val="16"/>
          <w:szCs w:val="16"/>
        </w:rPr>
        <w:t xml:space="preserve">vedoucího </w:t>
      </w:r>
      <w:r w:rsidRPr="001861C3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996E0B" w:rsidRPr="001861C3" w:rsidRDefault="00996E0B" w:rsidP="00996E0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rFonts w:asciiTheme="minorHAnsi" w:hAnsiTheme="minorHAnsi"/>
          <w:b w:val="0"/>
          <w:sz w:val="16"/>
          <w:szCs w:val="16"/>
          <w:u w:val="single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bez blesku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 pouze v prostorách 2. patra, jež jsou součástí 1. návštěvního okruhu, v prostoru hodovního sálu a kaple, s výjimkou vyt</w:t>
      </w:r>
      <w:r w:rsidR="00AB2A82">
        <w:rPr>
          <w:rFonts w:asciiTheme="minorHAnsi" w:hAnsiTheme="minorHAnsi"/>
          <w:b w:val="0"/>
          <w:sz w:val="16"/>
          <w:szCs w:val="16"/>
          <w:u w:val="single"/>
        </w:rPr>
        <w:t>i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>povaných předmětů</w:t>
      </w:r>
      <w:r w:rsidRPr="001861C3">
        <w:rPr>
          <w:rFonts w:asciiTheme="minorHAnsi" w:hAnsiTheme="minorHAnsi"/>
          <w:b w:val="0"/>
          <w:sz w:val="16"/>
          <w:szCs w:val="16"/>
        </w:rPr>
        <w:t>.</w:t>
      </w:r>
    </w:p>
    <w:p w:rsidR="004A4D1D" w:rsidRPr="001861C3" w:rsidRDefault="008A42EC" w:rsidP="006E6735">
      <w:pPr>
        <w:spacing w:line="240" w:lineRule="atLeast"/>
        <w:ind w:left="-218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  </w:t>
      </w:r>
    </w:p>
    <w:p w:rsidR="00A2223D" w:rsidRDefault="00A2223D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proofErr w:type="gramStart"/>
      <w:r w:rsidR="008D413F">
        <w:rPr>
          <w:snapToGrid w:val="0"/>
          <w:sz w:val="16"/>
          <w:szCs w:val="16"/>
        </w:rPr>
        <w:t>12.května</w:t>
      </w:r>
      <w:proofErr w:type="gramEnd"/>
      <w:r w:rsidR="008D413F">
        <w:rPr>
          <w:snapToGrid w:val="0"/>
          <w:sz w:val="16"/>
          <w:szCs w:val="16"/>
        </w:rPr>
        <w:t xml:space="preserve"> 2018</w:t>
      </w:r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0C" w:rsidRDefault="00AF6E0C" w:rsidP="001B0C41">
      <w:r>
        <w:separator/>
      </w:r>
    </w:p>
  </w:endnote>
  <w:endnote w:type="continuationSeparator" w:id="0">
    <w:p w:rsidR="00AF6E0C" w:rsidRDefault="00AF6E0C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0C" w:rsidRDefault="00AF6E0C" w:rsidP="001B0C41">
      <w:r>
        <w:separator/>
      </w:r>
    </w:p>
  </w:footnote>
  <w:footnote w:type="continuationSeparator" w:id="0">
    <w:p w:rsidR="00AF6E0C" w:rsidRDefault="00AF6E0C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722AB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A3AA1"/>
    <w:rsid w:val="008A42EC"/>
    <w:rsid w:val="008C4EEA"/>
    <w:rsid w:val="008D413F"/>
    <w:rsid w:val="009127BD"/>
    <w:rsid w:val="00912E7E"/>
    <w:rsid w:val="00971DC0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AF6E0C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D2017F"/>
    <w:rsid w:val="00D26B81"/>
    <w:rsid w:val="00D5303F"/>
    <w:rsid w:val="00D63B5C"/>
    <w:rsid w:val="00DC2262"/>
    <w:rsid w:val="00DF0848"/>
    <w:rsid w:val="00E768B4"/>
    <w:rsid w:val="00EF7EC2"/>
    <w:rsid w:val="00F27501"/>
    <w:rsid w:val="00F40762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04D6-3223-4606-AE5B-43334DF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1478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Robert</cp:lastModifiedBy>
  <cp:revision>3</cp:revision>
  <cp:lastPrinted>2017-01-20T10:21:00Z</cp:lastPrinted>
  <dcterms:created xsi:type="dcterms:W3CDTF">2018-03-13T12:11:00Z</dcterms:created>
  <dcterms:modified xsi:type="dcterms:W3CDTF">2018-03-16T13:43:00Z</dcterms:modified>
</cp:coreProperties>
</file>